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Averia Serif Libre" w:cs="Averia Serif Libre" w:eastAsia="Averia Serif Libre" w:hAnsi="Averia Serif Libre"/>
        </w:rPr>
      </w:pPr>
      <w:bookmarkStart w:colFirst="0" w:colLast="0" w:name="_heading=h.64c41ogj6sm" w:id="0"/>
      <w:bookmarkEnd w:id="0"/>
      <w:r w:rsidDel="00000000" w:rsidR="00000000" w:rsidRPr="00000000">
        <w:rPr>
          <w:rFonts w:ascii="Averia Serif Libre" w:cs="Averia Serif Libre" w:eastAsia="Averia Serif Libre" w:hAnsi="Averia Serif Libre"/>
        </w:rPr>
        <w:drawing>
          <wp:inline distB="114300" distT="114300" distL="114300" distR="114300">
            <wp:extent cx="2403638" cy="430841"/>
            <wp:effectExtent b="0" l="0" r="0" t="0"/>
            <wp:docPr id="3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03638" cy="4308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rFonts w:ascii="Averia Serif Libre" w:cs="Averia Serif Libre" w:eastAsia="Averia Serif Libre" w:hAnsi="Averia Serif Libre"/>
          <w:sz w:val="40"/>
          <w:szCs w:val="40"/>
        </w:rPr>
      </w:pPr>
      <w:bookmarkStart w:colFirst="0" w:colLast="0" w:name="_heading=h.20sa5nu1do87" w:id="1"/>
      <w:bookmarkEnd w:id="1"/>
      <w:r w:rsidDel="00000000" w:rsidR="00000000" w:rsidRPr="00000000">
        <w:rPr>
          <w:rtl w:val="0"/>
        </w:rPr>
        <w:t xml:space="preserve">Lærervejledning</w:t>
      </w:r>
      <w:r w:rsidDel="00000000" w:rsidR="00000000" w:rsidRPr="00000000">
        <w:rPr>
          <w:rtl w:val="0"/>
        </w:rPr>
      </w:r>
    </w:p>
    <w:p w:rsidR="00000000" w:rsidDel="00000000" w:rsidP="00000000" w:rsidRDefault="00000000" w:rsidRPr="00000000" w14:paraId="00000003">
      <w:pPr>
        <w:rPr>
          <w:rFonts w:ascii="Averia Serif Libre" w:cs="Averia Serif Libre" w:eastAsia="Averia Serif Libre" w:hAnsi="Averia Serif Libre"/>
        </w:rPr>
      </w:pPr>
      <w:r w:rsidDel="00000000" w:rsidR="00000000" w:rsidRPr="00000000">
        <w:rPr>
          <w:rtl w:val="0"/>
        </w:rPr>
      </w:r>
    </w:p>
    <w:p w:rsidR="00000000" w:rsidDel="00000000" w:rsidP="00000000" w:rsidRDefault="00000000" w:rsidRPr="00000000" w14:paraId="00000004">
      <w:pPr>
        <w:rPr>
          <w:rFonts w:ascii="Averia Serif Libre" w:cs="Averia Serif Libre" w:eastAsia="Averia Serif Libre" w:hAnsi="Averia Serif Libre"/>
          <w:sz w:val="26"/>
          <w:szCs w:val="26"/>
        </w:rPr>
      </w:pPr>
      <w:r w:rsidDel="00000000" w:rsidR="00000000" w:rsidRPr="00000000">
        <w:rPr>
          <w:sz w:val="24"/>
          <w:szCs w:val="24"/>
          <w:rtl w:val="0"/>
        </w:rPr>
        <w:t xml:space="preserve">Middelaldercentrets skoletilbud i Griffenholm er tilrettelagt som en opdagelsesrejse, hvor eleverne skal på opdagelse i Griffenholm – og blive klogere. Klogere på hvad? – kunne man spørge. Det lader sig ikke sådan lige svare på, men ét er sikkert; det vil være en god idé at tage sin fantasi og undren med på opdagelsesrejsen.</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pStyle w:val="Heading3"/>
        <w:rPr>
          <w:i w:val="1"/>
        </w:rPr>
      </w:pPr>
      <w:bookmarkStart w:colFirst="0" w:colLast="0" w:name="_heading=h.75m42qhfcivg" w:id="2"/>
      <w:bookmarkEnd w:id="2"/>
      <w:r w:rsidDel="00000000" w:rsidR="00000000" w:rsidRPr="00000000">
        <w:rPr>
          <w:rtl w:val="0"/>
        </w:rPr>
        <w:t xml:space="preserve">Overskrift på forløbet </w:t>
      </w:r>
      <w:r w:rsidDel="00000000" w:rsidR="00000000" w:rsidRPr="00000000">
        <w:rPr>
          <w:i w:val="1"/>
          <w:rtl w:val="0"/>
        </w:rPr>
        <w:t xml:space="preserve">Griffenholm – Jagten på det ukendte</w:t>
      </w:r>
    </w:p>
    <w:p w:rsidR="00000000" w:rsidDel="00000000" w:rsidP="00000000" w:rsidRDefault="00000000" w:rsidRPr="00000000" w14:paraId="00000008">
      <w:pPr>
        <w:pStyle w:val="Heading4"/>
        <w:rPr/>
      </w:pPr>
      <w:bookmarkStart w:colFirst="0" w:colLast="0" w:name="_heading=h.wcllzs2gsguz" w:id="3"/>
      <w:bookmarkEnd w:id="3"/>
      <w:r w:rsidDel="00000000" w:rsidR="00000000" w:rsidRPr="00000000">
        <w:rPr>
          <w:rtl w:val="0"/>
        </w:rPr>
        <w:t xml:space="preserve">Forløbet bæres af 4 begreber:</w:t>
      </w:r>
    </w:p>
    <w:p w:rsidR="00000000" w:rsidDel="00000000" w:rsidP="00000000" w:rsidRDefault="00000000" w:rsidRPr="00000000" w14:paraId="00000009">
      <w:pPr>
        <w:pStyle w:val="Heading4"/>
        <w:numPr>
          <w:ilvl w:val="0"/>
          <w:numId w:val="1"/>
        </w:numPr>
        <w:ind w:left="720" w:hanging="360"/>
        <w:rPr>
          <w:u w:val="none"/>
        </w:rPr>
      </w:pPr>
      <w:bookmarkStart w:colFirst="0" w:colLast="0" w:name="_heading=h.gae5c1gnyl0t" w:id="4"/>
      <w:bookmarkEnd w:id="4"/>
      <w:r w:rsidDel="00000000" w:rsidR="00000000" w:rsidRPr="00000000">
        <w:rPr>
          <w:rtl w:val="0"/>
        </w:rPr>
        <w:t xml:space="preserve">Opdagelse</w:t>
      </w:r>
    </w:p>
    <w:p w:rsidR="00000000" w:rsidDel="00000000" w:rsidP="00000000" w:rsidRDefault="00000000" w:rsidRPr="00000000" w14:paraId="0000000A">
      <w:pPr>
        <w:pStyle w:val="Heading4"/>
        <w:numPr>
          <w:ilvl w:val="0"/>
          <w:numId w:val="1"/>
        </w:numPr>
        <w:ind w:left="720" w:hanging="360"/>
        <w:rPr>
          <w:u w:val="none"/>
        </w:rPr>
      </w:pPr>
      <w:bookmarkStart w:colFirst="0" w:colLast="0" w:name="_heading=h.h57nnesyisyq" w:id="5"/>
      <w:bookmarkEnd w:id="5"/>
      <w:r w:rsidDel="00000000" w:rsidR="00000000" w:rsidRPr="00000000">
        <w:rPr>
          <w:rtl w:val="0"/>
        </w:rPr>
        <w:t xml:space="preserve">Nysgerrighed</w:t>
      </w:r>
    </w:p>
    <w:p w:rsidR="00000000" w:rsidDel="00000000" w:rsidP="00000000" w:rsidRDefault="00000000" w:rsidRPr="00000000" w14:paraId="0000000B">
      <w:pPr>
        <w:pStyle w:val="Heading4"/>
        <w:numPr>
          <w:ilvl w:val="0"/>
          <w:numId w:val="1"/>
        </w:numPr>
        <w:ind w:left="720" w:hanging="360"/>
        <w:rPr>
          <w:u w:val="none"/>
        </w:rPr>
      </w:pPr>
      <w:bookmarkStart w:colFirst="0" w:colLast="0" w:name="_heading=h.hiquahp9mtwq" w:id="6"/>
      <w:bookmarkEnd w:id="6"/>
      <w:r w:rsidDel="00000000" w:rsidR="00000000" w:rsidRPr="00000000">
        <w:rPr>
          <w:rtl w:val="0"/>
        </w:rPr>
        <w:t xml:space="preserve">Undren</w:t>
      </w:r>
    </w:p>
    <w:p w:rsidR="00000000" w:rsidDel="00000000" w:rsidP="00000000" w:rsidRDefault="00000000" w:rsidRPr="00000000" w14:paraId="0000000C">
      <w:pPr>
        <w:pStyle w:val="Heading4"/>
        <w:numPr>
          <w:ilvl w:val="0"/>
          <w:numId w:val="1"/>
        </w:numPr>
        <w:ind w:left="720" w:hanging="360"/>
        <w:rPr>
          <w:u w:val="none"/>
        </w:rPr>
      </w:pPr>
      <w:bookmarkStart w:colFirst="0" w:colLast="0" w:name="_heading=h.jug8iqaeimot" w:id="7"/>
      <w:bookmarkEnd w:id="7"/>
      <w:r w:rsidDel="00000000" w:rsidR="00000000" w:rsidRPr="00000000">
        <w:rPr>
          <w:rtl w:val="0"/>
        </w:rPr>
        <w:t xml:space="preserve">Virkelighed</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pStyle w:val="Heading3"/>
        <w:rPr>
          <w:sz w:val="21"/>
          <w:szCs w:val="21"/>
        </w:rPr>
      </w:pPr>
      <w:bookmarkStart w:colFirst="0" w:colLast="0" w:name="_heading=h.3mgymu4frk5q" w:id="8"/>
      <w:bookmarkEnd w:id="8"/>
      <w:r w:rsidDel="00000000" w:rsidR="00000000" w:rsidRPr="00000000">
        <w:rPr>
          <w:rtl w:val="0"/>
        </w:rPr>
        <w:t xml:space="preserve">Tidsramme</w:t>
      </w:r>
      <w:r w:rsidDel="00000000" w:rsidR="00000000" w:rsidRPr="00000000">
        <w:rPr>
          <w:sz w:val="21"/>
          <w:szCs w:val="21"/>
          <w:rtl w:val="0"/>
        </w:rPr>
        <w:t xml:space="preserve"> </w:t>
      </w:r>
    </w:p>
    <w:p w:rsidR="00000000" w:rsidDel="00000000" w:rsidP="00000000" w:rsidRDefault="00000000" w:rsidRPr="00000000" w14:paraId="00000010">
      <w:pPr>
        <w:rPr/>
      </w:pPr>
      <w:r w:rsidDel="00000000" w:rsidR="00000000" w:rsidRPr="00000000">
        <w:rPr>
          <w:rtl w:val="0"/>
        </w:rPr>
        <w:t xml:space="preserve">Selve undervisningsforløbet i Griffenholm varer ca. 2 timer. </w:t>
      </w:r>
    </w:p>
    <w:p w:rsidR="00000000" w:rsidDel="00000000" w:rsidP="00000000" w:rsidRDefault="00000000" w:rsidRPr="00000000" w14:paraId="00000011">
      <w:pPr>
        <w:rPr/>
      </w:pPr>
      <w:r w:rsidDel="00000000" w:rsidR="00000000" w:rsidRPr="00000000">
        <w:rPr>
          <w:rtl w:val="0"/>
        </w:rPr>
        <w:t xml:space="preserve">Dertil kommer forberedelse og efterbehandling/evaluering af forløbet hjemme. Vi lægger derfor op til, at der bruges 6 lektioner i alt på undervisningsforløbet. </w:t>
      </w:r>
    </w:p>
    <w:p w:rsidR="00000000" w:rsidDel="00000000" w:rsidP="00000000" w:rsidRDefault="00000000" w:rsidRPr="00000000" w14:paraId="00000012">
      <w:pPr>
        <w:rPr/>
      </w:pPr>
      <w:r w:rsidDel="00000000" w:rsidR="00000000" w:rsidRPr="00000000">
        <w:rPr>
          <w:rtl w:val="0"/>
        </w:rPr>
        <w:t xml:space="preserve">Det er naturligvis op til den enkelte lærer, om man ønsker at bruge mere eller mindre end 6 lektioner på forløbet. Forløbet kan ”stå alene”, men kvaliteten af oplevelsen højnes væsentligt, hvis eleverne er forberedt og sporet ind på forløbet samt bruger tid på efterbehandling/evaluering, da det fremmer elevernes forståelse og indsigt. </w:t>
      </w:r>
    </w:p>
    <w:p w:rsidR="00000000" w:rsidDel="00000000" w:rsidP="00000000" w:rsidRDefault="00000000" w:rsidRPr="00000000" w14:paraId="00000013">
      <w:pPr>
        <w:pStyle w:val="Heading3"/>
        <w:rPr/>
      </w:pPr>
      <w:bookmarkStart w:colFirst="0" w:colLast="0" w:name="_heading=h.ostupn7jh0ik" w:id="9"/>
      <w:bookmarkEnd w:id="9"/>
      <w:r w:rsidDel="00000000" w:rsidR="00000000" w:rsidRPr="00000000">
        <w:rPr>
          <w:rtl w:val="0"/>
        </w:rPr>
      </w:r>
    </w:p>
    <w:p w:rsidR="00000000" w:rsidDel="00000000" w:rsidP="00000000" w:rsidRDefault="00000000" w:rsidRPr="00000000" w14:paraId="00000014">
      <w:pPr>
        <w:pStyle w:val="Heading3"/>
        <w:rPr/>
      </w:pPr>
      <w:bookmarkStart w:colFirst="0" w:colLast="0" w:name="_heading=h.4f4eohunewhk" w:id="10"/>
      <w:bookmarkEnd w:id="10"/>
      <w:r w:rsidDel="00000000" w:rsidR="00000000" w:rsidRPr="00000000">
        <w:rPr>
          <w:rtl w:val="0"/>
        </w:rPr>
        <w:t xml:space="preserve">Praktisk – inden forløbet </w:t>
      </w:r>
    </w:p>
    <w:p w:rsidR="00000000" w:rsidDel="00000000" w:rsidP="00000000" w:rsidRDefault="00000000" w:rsidRPr="00000000" w14:paraId="00000015">
      <w:pPr>
        <w:rPr/>
      </w:pPr>
      <w:r w:rsidDel="00000000" w:rsidR="00000000" w:rsidRPr="00000000">
        <w:rPr>
          <w:rtl w:val="0"/>
        </w:rPr>
        <w:t xml:space="preserve">Eleverne skal deles i grupper á 4-6 elever på forhånd. Disse grupper er de samme til forberedelsen og efterbehandlingen/evalueringen.</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pStyle w:val="Heading3"/>
        <w:rPr/>
      </w:pPr>
      <w:bookmarkStart w:colFirst="0" w:colLast="0" w:name="_heading=h.y6pjt72rnew0" w:id="11"/>
      <w:bookmarkEnd w:id="11"/>
      <w:r w:rsidDel="00000000" w:rsidR="00000000" w:rsidRPr="00000000">
        <w:rPr>
          <w:rtl w:val="0"/>
        </w:rPr>
        <w:t xml:space="preserve">Formål </w:t>
      </w:r>
    </w:p>
    <w:p w:rsidR="00000000" w:rsidDel="00000000" w:rsidP="00000000" w:rsidRDefault="00000000" w:rsidRPr="00000000" w14:paraId="00000018">
      <w:pPr>
        <w:rPr/>
      </w:pPr>
      <w:r w:rsidDel="00000000" w:rsidR="00000000" w:rsidRPr="00000000">
        <w:rPr>
          <w:rtl w:val="0"/>
        </w:rPr>
        <w:t xml:space="preserve">Formålet med undervisningsforløbet er at vække elevernes undren. </w:t>
      </w:r>
    </w:p>
    <w:p w:rsidR="00000000" w:rsidDel="00000000" w:rsidP="00000000" w:rsidRDefault="00000000" w:rsidRPr="00000000" w14:paraId="00000019">
      <w:pPr>
        <w:rPr/>
      </w:pPr>
      <w:r w:rsidDel="00000000" w:rsidR="00000000" w:rsidRPr="00000000">
        <w:rPr>
          <w:rtl w:val="0"/>
        </w:rPr>
        <w:t xml:space="preserve">Eleverne skal ved hjælp af opdagelse, nysgerrighed, undren og fantasi søge ny viden. </w:t>
      </w:r>
    </w:p>
    <w:p w:rsidR="00000000" w:rsidDel="00000000" w:rsidP="00000000" w:rsidRDefault="00000000" w:rsidRPr="00000000" w14:paraId="0000001A">
      <w:pPr>
        <w:rPr>
          <w:vertAlign w:val="superscript"/>
        </w:rPr>
      </w:pPr>
      <w:r w:rsidDel="00000000" w:rsidR="00000000" w:rsidRPr="00000000">
        <w:rPr>
          <w:rtl w:val="0"/>
        </w:rPr>
        <w:t xml:space="preserve">Dette formål understøttes af folkeskolens formålsparagraf stk. 2: ”</w:t>
      </w:r>
      <w:r w:rsidDel="00000000" w:rsidR="00000000" w:rsidRPr="00000000">
        <w:rPr>
          <w:i w:val="1"/>
          <w:rtl w:val="0"/>
        </w:rPr>
        <w:t xml:space="preserve">Folkeskolen skal udvikle arbejdsmetoder og skabe rammer for oplevelse, fordybelse og virkelyst, så eleverne udvikler erkendelse og fantasi og får tillid til egne muligheder og baggrund for at tage stilling og handle</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Der anlægges undervejs en filosofisk vinkel på undervisningen, hvor der ikke altid ønskes et bestemt facit, men hvor der i stedet arbejdes med elevens egen refleksion og stillingstagen i jagten på ny viden. Denne tilgang lægger op til åben samtale og fælles forståelse, elev/elev og elev/lærer imellem.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Eleverne møder derfor ikke detektiven og assistenten i en styrende rolle, men der vil være enten assistenter/detektiver til stede under forløbet, som måske kan være til hjælp.</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Oplevelsen i Griffenholm balancerer mellem fantasi og virkelighed, hvilket netop er kernen i undervisningsforløbet – for hvornår er noget virkeligt? Kan vi være sikre på, at vi ved, hvad vi ved??</w:t>
      </w:r>
    </w:p>
    <w:p w:rsidR="00000000" w:rsidDel="00000000" w:rsidP="00000000" w:rsidRDefault="00000000" w:rsidRPr="00000000" w14:paraId="00000023">
      <w:pPr>
        <w:rPr/>
      </w:pPr>
      <w:r w:rsidDel="00000000" w:rsidR="00000000" w:rsidRPr="00000000">
        <w:rPr>
          <w:rtl w:val="0"/>
        </w:rPr>
        <w:t xml:space="preserve">Undren er i hvert fald altid et godt sted at starte, når ny viden skal erobres.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rPr/>
      </w:pPr>
      <w:bookmarkStart w:colFirst="0" w:colLast="0" w:name="_heading=h.8sx4t6no9rfm" w:id="12"/>
      <w:bookmarkEnd w:id="12"/>
      <w:r w:rsidDel="00000000" w:rsidR="00000000" w:rsidRPr="00000000">
        <w:rPr>
          <w:rtl w:val="0"/>
        </w:rPr>
        <w:t xml:space="preserve">Indhold</w:t>
      </w:r>
    </w:p>
    <w:p w:rsidR="00000000" w:rsidDel="00000000" w:rsidP="00000000" w:rsidRDefault="00000000" w:rsidRPr="00000000" w14:paraId="00000026">
      <w:pPr>
        <w:rPr/>
      </w:pPr>
      <w:r w:rsidDel="00000000" w:rsidR="00000000" w:rsidRPr="00000000">
        <w:rPr>
          <w:rtl w:val="0"/>
        </w:rPr>
        <w:t xml:space="preserve">● Eleverne skal opleve og lære om Griffenholm og dets fantasifulde - men samtidig virkelige univers. De skal bruge deres fantasi og forestillingsevne i jagten på det ukendte.</w:t>
      </w:r>
    </w:p>
    <w:p w:rsidR="00000000" w:rsidDel="00000000" w:rsidP="00000000" w:rsidRDefault="00000000" w:rsidRPr="00000000" w14:paraId="00000027">
      <w:pPr>
        <w:rPr/>
      </w:pPr>
      <w:r w:rsidDel="00000000" w:rsidR="00000000" w:rsidRPr="00000000">
        <w:rPr>
          <w:rtl w:val="0"/>
        </w:rPr>
        <w:t xml:space="preserve">● Eleverne skal undre sig og bruge denne undren til at opnå ny viden.</w:t>
      </w:r>
    </w:p>
    <w:p w:rsidR="00000000" w:rsidDel="00000000" w:rsidP="00000000" w:rsidRDefault="00000000" w:rsidRPr="00000000" w14:paraId="00000028">
      <w:pPr>
        <w:rPr/>
      </w:pPr>
      <w:r w:rsidDel="00000000" w:rsidR="00000000" w:rsidRPr="00000000">
        <w:rPr>
          <w:rtl w:val="0"/>
        </w:rPr>
        <w:t xml:space="preserve">● Eleverne skal tage stilling til virkelighed og fantasi og reflektere over, hvornår der er tale om det ene eller det andet – og ikke mindst hvorfor.</w:t>
      </w:r>
    </w:p>
    <w:p w:rsidR="00000000" w:rsidDel="00000000" w:rsidP="00000000" w:rsidRDefault="00000000" w:rsidRPr="00000000" w14:paraId="00000029">
      <w:pPr>
        <w:rPr/>
      </w:pPr>
      <w:r w:rsidDel="00000000" w:rsidR="00000000" w:rsidRPr="00000000">
        <w:rPr>
          <w:rtl w:val="0"/>
        </w:rPr>
        <w:t xml:space="preserve">Undervisningsforløbet berører især faget kristendomskundskab, kompetenceområdet Livsfilosofi og etik, hvor:</w:t>
      </w:r>
    </w:p>
    <w:p w:rsidR="00000000" w:rsidDel="00000000" w:rsidP="00000000" w:rsidRDefault="00000000" w:rsidRPr="00000000" w14:paraId="0000002A">
      <w:pPr>
        <w:rPr/>
      </w:pPr>
      <w:r w:rsidDel="00000000" w:rsidR="00000000" w:rsidRPr="00000000">
        <w:rPr>
          <w:rtl w:val="0"/>
        </w:rPr>
        <w:t xml:space="preserve">”Undervisningen bidrager til, at eleverne analytisk og kritisk bliver i stand til at tolke etik samt religioners og andre livsopfattelsers indhold og betydning for livsforståelse og menneskelig sameksistens. Det vil sige et fortolkningsberedskab til at kunne forstå tilværelsen i dens mangfoldighed.</w:t>
      </w:r>
    </w:p>
    <w:p w:rsidR="00000000" w:rsidDel="00000000" w:rsidP="00000000" w:rsidRDefault="00000000" w:rsidRPr="00000000" w14:paraId="0000002B">
      <w:pPr>
        <w:rPr/>
      </w:pPr>
      <w:r w:rsidDel="00000000" w:rsidR="00000000" w:rsidRPr="00000000">
        <w:rPr>
          <w:rtl w:val="0"/>
        </w:rPr>
        <w:t xml:space="preserve">Faget kristendomskundskab skal i et samarbejde mellem lærer og elever medvirke til elevernes eksistentielle, kulturelle og samfundsmæssige dannelse ved at give eleverne mulighed og baggrund for selvstændigt at tage stilling til eksistens, etik, religion og andre livsopfattelser”.</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pPr>
      <w:bookmarkStart w:colFirst="0" w:colLast="0" w:name="_heading=h.jg2kvcmey20c" w:id="13"/>
      <w:bookmarkEnd w:id="13"/>
      <w:r w:rsidDel="00000000" w:rsidR="00000000" w:rsidRPr="00000000">
        <w:rPr>
          <w:rtl w:val="0"/>
        </w:rPr>
        <w:t xml:space="preserve">Metode</w:t>
      </w:r>
    </w:p>
    <w:p w:rsidR="00000000" w:rsidDel="00000000" w:rsidP="00000000" w:rsidRDefault="00000000" w:rsidRPr="00000000" w14:paraId="0000002E">
      <w:pPr>
        <w:rPr/>
      </w:pPr>
      <w:r w:rsidDel="00000000" w:rsidR="00000000" w:rsidRPr="00000000">
        <w:rPr>
          <w:rtl w:val="0"/>
        </w:rPr>
        <w:t xml:space="preserve">Forberedelse (2 lektioner)</w:t>
      </w:r>
    </w:p>
    <w:p w:rsidR="00000000" w:rsidDel="00000000" w:rsidP="00000000" w:rsidRDefault="00000000" w:rsidRPr="00000000" w14:paraId="0000002F">
      <w:pPr>
        <w:rPr/>
      </w:pPr>
      <w:r w:rsidDel="00000000" w:rsidR="00000000" w:rsidRPr="00000000">
        <w:rPr>
          <w:rtl w:val="0"/>
        </w:rPr>
        <w:t xml:space="preserve">Forud for undervisningsforløbet arbejdes med følgende spørgsmål:</w:t>
      </w:r>
    </w:p>
    <w:p w:rsidR="00000000" w:rsidDel="00000000" w:rsidP="00000000" w:rsidRDefault="00000000" w:rsidRPr="00000000" w14:paraId="00000030">
      <w:pPr>
        <w:rPr/>
      </w:pPr>
      <w:r w:rsidDel="00000000" w:rsidR="00000000" w:rsidRPr="00000000">
        <w:rPr>
          <w:rtl w:val="0"/>
        </w:rPr>
        <w:t xml:space="preserve">● Hvad vil det sige ”at gå på opdagelse”?</w:t>
      </w:r>
    </w:p>
    <w:p w:rsidR="00000000" w:rsidDel="00000000" w:rsidP="00000000" w:rsidRDefault="00000000" w:rsidRPr="00000000" w14:paraId="00000031">
      <w:pPr>
        <w:rPr/>
      </w:pPr>
      <w:r w:rsidDel="00000000" w:rsidR="00000000" w:rsidRPr="00000000">
        <w:rPr>
          <w:rtl w:val="0"/>
        </w:rPr>
        <w:t xml:space="preserve">● Hvad er nysgerrighed?</w:t>
      </w:r>
    </w:p>
    <w:p w:rsidR="00000000" w:rsidDel="00000000" w:rsidP="00000000" w:rsidRDefault="00000000" w:rsidRPr="00000000" w14:paraId="00000032">
      <w:pPr>
        <w:rPr/>
      </w:pPr>
      <w:r w:rsidDel="00000000" w:rsidR="00000000" w:rsidRPr="00000000">
        <w:rPr>
          <w:rtl w:val="0"/>
        </w:rPr>
        <w:t xml:space="preserve">● Hvorfor opstår undren?</w:t>
      </w:r>
    </w:p>
    <w:p w:rsidR="00000000" w:rsidDel="00000000" w:rsidP="00000000" w:rsidRDefault="00000000" w:rsidRPr="00000000" w14:paraId="00000033">
      <w:pPr>
        <w:rPr/>
      </w:pPr>
      <w:r w:rsidDel="00000000" w:rsidR="00000000" w:rsidRPr="00000000">
        <w:rPr>
          <w:rtl w:val="0"/>
        </w:rPr>
        <w:t xml:space="preserve">● Hvad er virkelighed?</w:t>
      </w:r>
    </w:p>
    <w:p w:rsidR="00000000" w:rsidDel="00000000" w:rsidP="00000000" w:rsidRDefault="00000000" w:rsidRPr="00000000" w14:paraId="00000034">
      <w:pPr>
        <w:rPr/>
      </w:pPr>
      <w:r w:rsidDel="00000000" w:rsidR="00000000" w:rsidRPr="00000000">
        <w:rPr>
          <w:rtl w:val="0"/>
        </w:rPr>
        <w:t xml:space="preserve">Lad eleverne samtale i grupper (samme grupper som ude i Griffenholm) om spørgsmålene og lad dem udarbejde enten en tegning, en skrivelse eller et mundtligt oplæg over deres tanker. Når alle grupper har fremlagt deres tanker, samles der op i plenum for at skærpe elevernes fælles forståelse for spørgsmålene samt klæde dem på til undervisningsforløbet – hvad er det mon, vi skal ud og opleve?</w:t>
      </w:r>
    </w:p>
    <w:p w:rsidR="00000000" w:rsidDel="00000000" w:rsidP="00000000" w:rsidRDefault="00000000" w:rsidRPr="00000000" w14:paraId="00000035">
      <w:pPr>
        <w:rPr/>
      </w:pPr>
      <w:r w:rsidDel="00000000" w:rsidR="00000000" w:rsidRPr="00000000">
        <w:rPr>
          <w:rtl w:val="0"/>
        </w:rPr>
        <w:t xml:space="preserve">Afslutningsvis skriver eleverne deres forventninger til forløbet op. Forventningerne inddrages i evalueringen.</w:t>
      </w:r>
    </w:p>
    <w:p w:rsidR="00000000" w:rsidDel="00000000" w:rsidP="00000000" w:rsidRDefault="00000000" w:rsidRPr="00000000" w14:paraId="00000036">
      <w:pPr>
        <w:rPr/>
      </w:pPr>
      <w:r w:rsidDel="00000000" w:rsidR="00000000" w:rsidRPr="00000000">
        <w:rPr>
          <w:rtl w:val="0"/>
        </w:rPr>
        <w:t xml:space="preserve">Alt efter elevernes kendskab til fabeldyr, vil vi desuden anbefale, at materialet, ”Information om fabeldyr”, læses igennem.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rPr/>
      </w:pPr>
      <w:bookmarkStart w:colFirst="0" w:colLast="0" w:name="_heading=h.fo51lpobse4k" w:id="14"/>
      <w:bookmarkEnd w:id="14"/>
      <w:r w:rsidDel="00000000" w:rsidR="00000000" w:rsidRPr="00000000">
        <w:rPr>
          <w:rtl w:val="0"/>
        </w:rPr>
        <w:t xml:space="preserve">Selve undervisningsforløbet (2 lektioner)</w:t>
      </w:r>
    </w:p>
    <w:p w:rsidR="00000000" w:rsidDel="00000000" w:rsidP="00000000" w:rsidRDefault="00000000" w:rsidRPr="00000000" w14:paraId="00000039">
      <w:pPr>
        <w:rPr/>
      </w:pPr>
      <w:r w:rsidDel="00000000" w:rsidR="00000000" w:rsidRPr="00000000">
        <w:rPr>
          <w:rtl w:val="0"/>
        </w:rPr>
        <w:t xml:space="preserve">1. Eleverne bliver modtaget af en civil person, som viser dem vejen ud i Griffenholm og fortæller dem, at de ude i skoven vil møde en, som giver dem et hint om dagens oplevelse. Tanken er, at eleverne allerede her skal blive nysgerrige på, hvad de skal opleve i Griffenholm.</w:t>
      </w:r>
    </w:p>
    <w:p w:rsidR="00000000" w:rsidDel="00000000" w:rsidP="00000000" w:rsidRDefault="00000000" w:rsidRPr="00000000" w14:paraId="0000003A">
      <w:pPr>
        <w:rPr/>
      </w:pPr>
      <w:r w:rsidDel="00000000" w:rsidR="00000000" w:rsidRPr="00000000">
        <w:rPr>
          <w:rtl w:val="0"/>
        </w:rPr>
        <w:t xml:space="preserve">Der udleveres en uddybende Bog til læreren (med baggrundsviden og evt. svar), så man har mulighed for at hjælpe sine elever undervejs i forløbet).</w:t>
      </w:r>
    </w:p>
    <w:p w:rsidR="00000000" w:rsidDel="00000000" w:rsidP="00000000" w:rsidRDefault="00000000" w:rsidRPr="00000000" w14:paraId="0000003B">
      <w:pPr>
        <w:rPr/>
      </w:pPr>
      <w:r w:rsidDel="00000000" w:rsidR="00000000" w:rsidRPr="00000000">
        <w:rPr>
          <w:rtl w:val="0"/>
        </w:rPr>
        <w:t xml:space="preserve">2. På platformen på gangbroerne står en detektiv/assistent med eksemplarer af Bogen (en lille folder indeholdende guide og gåder til oplevelsen i Griffenholm). Bogen skal vække elevernes virkelyst, fantasi og undren og sætte dem i stand til at gå på opdagelse og søge ny viden.</w:t>
      </w:r>
    </w:p>
    <w:p w:rsidR="00000000" w:rsidDel="00000000" w:rsidP="00000000" w:rsidRDefault="00000000" w:rsidRPr="00000000" w14:paraId="0000003C">
      <w:pPr>
        <w:rPr/>
      </w:pPr>
      <w:r w:rsidDel="00000000" w:rsidR="00000000" w:rsidRPr="00000000">
        <w:rPr>
          <w:rtl w:val="0"/>
        </w:rPr>
        <w:t xml:space="preserve">3. Detektiven/assistenten afleverer Bogen til grupperne og sætter forløbet i gang.</w:t>
      </w:r>
    </w:p>
    <w:p w:rsidR="00000000" w:rsidDel="00000000" w:rsidP="00000000" w:rsidRDefault="00000000" w:rsidRPr="00000000" w14:paraId="0000003D">
      <w:pPr>
        <w:rPr/>
      </w:pPr>
      <w:r w:rsidDel="00000000" w:rsidR="00000000" w:rsidRPr="00000000">
        <w:rPr>
          <w:rtl w:val="0"/>
        </w:rPr>
        <w:t xml:space="preserve">4. Mens eleverne er på opdagelse, er detektiven/assistenten (måske flere) til stede i Griffenholm. Eleverne kan henvende sig til dem, men det er ikke sikkert, at det svar, de får (hvis de får et svar), giver umiddelbart mening. Men det giver måske stof til eftertanke…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rPr/>
      </w:pPr>
      <w:bookmarkStart w:colFirst="0" w:colLast="0" w:name="_heading=h.ydy18offsngh" w:id="15"/>
      <w:bookmarkEnd w:id="15"/>
      <w:r w:rsidDel="00000000" w:rsidR="00000000" w:rsidRPr="00000000">
        <w:rPr>
          <w:rtl w:val="0"/>
        </w:rPr>
        <w:t xml:space="preserve">Afslutningsvis efterbehandling/evaluering af forløbet hjemme (2 lektioner).</w:t>
      </w:r>
    </w:p>
    <w:p w:rsidR="00000000" w:rsidDel="00000000" w:rsidP="00000000" w:rsidRDefault="00000000" w:rsidRPr="00000000" w14:paraId="00000040">
      <w:pPr>
        <w:rPr/>
      </w:pPr>
      <w:r w:rsidDel="00000000" w:rsidR="00000000" w:rsidRPr="00000000">
        <w:rPr>
          <w:rtl w:val="0"/>
        </w:rPr>
        <w:t xml:space="preserve">Se under evaluering.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pPr>
      <w:bookmarkStart w:colFirst="0" w:colLast="0" w:name="_heading=h.nyw9mgf99u3f" w:id="16"/>
      <w:bookmarkEnd w:id="16"/>
      <w:r w:rsidDel="00000000" w:rsidR="00000000" w:rsidRPr="00000000">
        <w:rPr>
          <w:rtl w:val="0"/>
        </w:rPr>
        <w:t xml:space="preserve">Materiale</w:t>
      </w:r>
    </w:p>
    <w:p w:rsidR="00000000" w:rsidDel="00000000" w:rsidP="00000000" w:rsidRDefault="00000000" w:rsidRPr="00000000" w14:paraId="00000043">
      <w:pPr>
        <w:rPr/>
      </w:pPr>
      <w:r w:rsidDel="00000000" w:rsidR="00000000" w:rsidRPr="00000000">
        <w:rPr>
          <w:rtl w:val="0"/>
        </w:rPr>
        <w:t xml:space="preserve">Materialet (Bogen) udleveres i Griffenholm.</w:t>
      </w:r>
    </w:p>
    <w:p w:rsidR="00000000" w:rsidDel="00000000" w:rsidP="00000000" w:rsidRDefault="00000000" w:rsidRPr="00000000" w14:paraId="00000044">
      <w:pPr>
        <w:rPr/>
      </w:pPr>
      <w:r w:rsidDel="00000000" w:rsidR="00000000" w:rsidRPr="00000000">
        <w:rPr>
          <w:rtl w:val="0"/>
        </w:rPr>
        <w:t xml:space="preserve">Eleverne skal selv medbringe et skriveredskab.</w:t>
      </w:r>
    </w:p>
    <w:p w:rsidR="00000000" w:rsidDel="00000000" w:rsidP="00000000" w:rsidRDefault="00000000" w:rsidRPr="00000000" w14:paraId="00000045">
      <w:pPr>
        <w:rPr/>
      </w:pPr>
      <w:r w:rsidDel="00000000" w:rsidR="00000000" w:rsidRPr="00000000">
        <w:rPr>
          <w:rtl w:val="0"/>
        </w:rPr>
        <w:t xml:space="preserve">Sørg for at eleverne har tøj og sko på til at bevæge sig rundt i en skov efter vejret.</w:t>
      </w:r>
    </w:p>
    <w:p w:rsidR="00000000" w:rsidDel="00000000" w:rsidP="00000000" w:rsidRDefault="00000000" w:rsidRPr="00000000" w14:paraId="00000046">
      <w:pPr>
        <w:rPr/>
      </w:pPr>
      <w:r w:rsidDel="00000000" w:rsidR="00000000" w:rsidRPr="00000000">
        <w:rPr>
          <w:rtl w:val="0"/>
        </w:rPr>
        <w:t xml:space="preserve">Der er ikke mulighed for at få låst tasker m.m. inde. Det kan lægges af et sted i Griffenholm, som I selv finder/bestemmer.</w:t>
      </w:r>
    </w:p>
    <w:p w:rsidR="00000000" w:rsidDel="00000000" w:rsidP="00000000" w:rsidRDefault="00000000" w:rsidRPr="00000000" w14:paraId="00000047">
      <w:pPr>
        <w:rPr/>
      </w:pPr>
      <w:r w:rsidDel="00000000" w:rsidR="00000000" w:rsidRPr="00000000">
        <w:rPr>
          <w:rtl w:val="0"/>
        </w:rPr>
        <w:t xml:space="preserve">Der er ét toilet til rådighed.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3"/>
        <w:rPr/>
      </w:pPr>
      <w:bookmarkStart w:colFirst="0" w:colLast="0" w:name="_heading=h.5su5ey9s2i6o" w:id="17"/>
      <w:bookmarkEnd w:id="17"/>
      <w:r w:rsidDel="00000000" w:rsidR="00000000" w:rsidRPr="00000000">
        <w:rPr>
          <w:rtl w:val="0"/>
        </w:rPr>
        <w:t xml:space="preserve">Evaluering</w:t>
      </w:r>
    </w:p>
    <w:p w:rsidR="00000000" w:rsidDel="00000000" w:rsidP="00000000" w:rsidRDefault="00000000" w:rsidRPr="00000000" w14:paraId="0000004A">
      <w:pPr>
        <w:rPr/>
      </w:pPr>
      <w:r w:rsidDel="00000000" w:rsidR="00000000" w:rsidRPr="00000000">
        <w:rPr>
          <w:rtl w:val="0"/>
        </w:rPr>
        <w:t xml:space="preserve">I grupper (samme grupper som ude i Griffenholm) fremstiller eleverne en ”undringsplakat”.</w:t>
      </w:r>
    </w:p>
    <w:p w:rsidR="00000000" w:rsidDel="00000000" w:rsidP="00000000" w:rsidRDefault="00000000" w:rsidRPr="00000000" w14:paraId="0000004B">
      <w:pPr>
        <w:rPr/>
      </w:pPr>
      <w:r w:rsidDel="00000000" w:rsidR="00000000" w:rsidRPr="00000000">
        <w:rPr>
          <w:rtl w:val="0"/>
        </w:rPr>
        <w:t xml:space="preserve">Det er op til gruppen, hvordan plakaten (A3) skal se ud, om den kun består af tegninger/billeder eller om der også er tekst på. Lad kreativiteten blomstre.</w:t>
      </w:r>
    </w:p>
    <w:p w:rsidR="00000000" w:rsidDel="00000000" w:rsidP="00000000" w:rsidRDefault="00000000" w:rsidRPr="00000000" w14:paraId="0000004C">
      <w:pPr>
        <w:rPr/>
      </w:pPr>
      <w:r w:rsidDel="00000000" w:rsidR="00000000" w:rsidRPr="00000000">
        <w:rPr>
          <w:rtl w:val="0"/>
        </w:rPr>
        <w:t xml:space="preserve">I arbejdet med plakaten, tages der stilling til følgende spørgsmål.</w:t>
      </w:r>
    </w:p>
    <w:p w:rsidR="00000000" w:rsidDel="00000000" w:rsidP="00000000" w:rsidRDefault="00000000" w:rsidRPr="00000000" w14:paraId="0000004D">
      <w:pPr>
        <w:rPr/>
      </w:pPr>
      <w:r w:rsidDel="00000000" w:rsidR="00000000" w:rsidRPr="00000000">
        <w:rPr>
          <w:rtl w:val="0"/>
        </w:rPr>
        <w:t xml:space="preserve">● Har oplevelsen i Griffenholm givet dig ny viden?</w:t>
      </w:r>
    </w:p>
    <w:p w:rsidR="00000000" w:rsidDel="00000000" w:rsidP="00000000" w:rsidRDefault="00000000" w:rsidRPr="00000000" w14:paraId="0000004E">
      <w:pPr>
        <w:rPr/>
      </w:pPr>
      <w:r w:rsidDel="00000000" w:rsidR="00000000" w:rsidRPr="00000000">
        <w:rPr>
          <w:rtl w:val="0"/>
        </w:rPr>
        <w:t xml:space="preserve">● Hvad bruger vi fantasien til?</w:t>
      </w:r>
    </w:p>
    <w:p w:rsidR="00000000" w:rsidDel="00000000" w:rsidP="00000000" w:rsidRDefault="00000000" w:rsidRPr="00000000" w14:paraId="0000004F">
      <w:pPr>
        <w:rPr/>
      </w:pPr>
      <w:r w:rsidDel="00000000" w:rsidR="00000000" w:rsidRPr="00000000">
        <w:rPr>
          <w:rtl w:val="0"/>
        </w:rPr>
        <w:t xml:space="preserve">● Kan man lede efter noget, man ikke ved, hvad er?</w:t>
      </w:r>
    </w:p>
    <w:p w:rsidR="00000000" w:rsidDel="00000000" w:rsidP="00000000" w:rsidRDefault="00000000" w:rsidRPr="00000000" w14:paraId="00000050">
      <w:pPr>
        <w:rPr/>
      </w:pPr>
      <w:r w:rsidDel="00000000" w:rsidR="00000000" w:rsidRPr="00000000">
        <w:rPr>
          <w:rtl w:val="0"/>
        </w:rPr>
        <w:t xml:space="preserve">● Tror du på virkeligheden?</w:t>
      </w:r>
    </w:p>
    <w:p w:rsidR="00000000" w:rsidDel="00000000" w:rsidP="00000000" w:rsidRDefault="00000000" w:rsidRPr="00000000" w14:paraId="00000051">
      <w:pPr>
        <w:rPr/>
      </w:pPr>
      <w:r w:rsidDel="00000000" w:rsidR="00000000" w:rsidRPr="00000000">
        <w:rPr>
          <w:rtl w:val="0"/>
        </w:rPr>
        <w:t xml:space="preserve">● Er jeres forventninger indfriet – hvorfor/hvorfor ikke?</w:t>
      </w:r>
    </w:p>
    <w:p w:rsidR="00000000" w:rsidDel="00000000" w:rsidP="00000000" w:rsidRDefault="00000000" w:rsidRPr="00000000" w14:paraId="00000052">
      <w:pPr>
        <w:rPr/>
      </w:pPr>
      <w:r w:rsidDel="00000000" w:rsidR="00000000" w:rsidRPr="00000000">
        <w:rPr>
          <w:rtl w:val="0"/>
        </w:rPr>
        <w:t xml:space="preserve">Man kan selvfølgelig svare på spørgsmålene, men måske kan man også tegne sig ud af det – altså ”tegne et svar”. Samtal gerne med eleverne før arbejdet går i gang, hvordan en ”undringsplakat” kan se ud, på den måde kan den enkeltes tanker gavne fællesskabet.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Udover spørgsmålene kan eleverne selvfølgelig arbejde med andre tilgange til deres ”undringsplakat”. Det kan være, at læreren formulerer et/flere spørgsmål, som eleverne skal tage stilling til – eller helt enkelt ligger op til undren, måske ved at læse en lille selvvalgt historie.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Det kunne være interessant at tage stilling til et citat af den gamle filosof Sokrates, som lyder: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drawing>
          <wp:inline distB="114300" distT="114300" distL="114300" distR="114300">
            <wp:extent cx="1082512" cy="1082512"/>
            <wp:effectExtent b="0" l="0" r="0" t="0"/>
            <wp:docPr id="3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82512" cy="1082512"/>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pStyle w:val="Heading3"/>
        <w:spacing w:line="276" w:lineRule="auto"/>
        <w:jc w:val="center"/>
        <w:rPr>
          <w:b w:val="0"/>
          <w:i w:val="1"/>
          <w:sz w:val="26"/>
          <w:szCs w:val="26"/>
        </w:rPr>
      </w:pPr>
      <w:bookmarkStart w:colFirst="0" w:colLast="0" w:name="_heading=h.l6g4gztnr7ct" w:id="18"/>
      <w:bookmarkEnd w:id="18"/>
      <w:r w:rsidDel="00000000" w:rsidR="00000000" w:rsidRPr="00000000">
        <w:rPr>
          <w:b w:val="0"/>
          <w:i w:val="1"/>
          <w:sz w:val="26"/>
          <w:szCs w:val="26"/>
          <w:rtl w:val="0"/>
        </w:rPr>
        <w:t xml:space="preserve">Følg den mand, der søger efter sandheden, vig fra ham, der har fundet den!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Hvad tænker du om det, Sokrates siger?</w:t>
      </w:r>
    </w:p>
    <w:p w:rsidR="00000000" w:rsidDel="00000000" w:rsidP="00000000" w:rsidRDefault="00000000" w:rsidRPr="00000000" w14:paraId="0000005F">
      <w:pPr>
        <w:rPr/>
      </w:pPr>
      <w:r w:rsidDel="00000000" w:rsidR="00000000" w:rsidRPr="00000000">
        <w:rPr>
          <w:rtl w:val="0"/>
        </w:rPr>
        <w:t xml:space="preserve">Grupperne fremlægger deres ”undringsplakater”. Lad gerne klassen give respons på fremlæggelserne (på selve indholdet).</w:t>
      </w:r>
    </w:p>
    <w:p w:rsidR="00000000" w:rsidDel="00000000" w:rsidP="00000000" w:rsidRDefault="00000000" w:rsidRPr="00000000" w14:paraId="00000060">
      <w:pPr>
        <w:rPr/>
      </w:pPr>
      <w:r w:rsidDel="00000000" w:rsidR="00000000" w:rsidRPr="00000000">
        <w:rPr>
          <w:rtl w:val="0"/>
        </w:rPr>
        <w:t xml:space="preserve">Opsamling i plenum, hvor læreren udvælger ét af de 4 begreber: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Opdagelse</w:t>
      </w:r>
    </w:p>
    <w:p w:rsidR="00000000" w:rsidDel="00000000" w:rsidP="00000000" w:rsidRDefault="00000000" w:rsidRPr="00000000" w14:paraId="00000063">
      <w:pPr>
        <w:rPr/>
      </w:pPr>
      <w:r w:rsidDel="00000000" w:rsidR="00000000" w:rsidRPr="00000000">
        <w:rPr>
          <w:rtl w:val="0"/>
        </w:rPr>
        <w:t xml:space="preserve">● Nysgerrighed</w:t>
      </w:r>
    </w:p>
    <w:p w:rsidR="00000000" w:rsidDel="00000000" w:rsidP="00000000" w:rsidRDefault="00000000" w:rsidRPr="00000000" w14:paraId="00000064">
      <w:pPr>
        <w:rPr/>
      </w:pPr>
      <w:r w:rsidDel="00000000" w:rsidR="00000000" w:rsidRPr="00000000">
        <w:rPr>
          <w:rtl w:val="0"/>
        </w:rPr>
        <w:t xml:space="preserve">● Undren</w:t>
      </w:r>
    </w:p>
    <w:p w:rsidR="00000000" w:rsidDel="00000000" w:rsidP="00000000" w:rsidRDefault="00000000" w:rsidRPr="00000000" w14:paraId="00000065">
      <w:pPr>
        <w:rPr/>
      </w:pPr>
      <w:r w:rsidDel="00000000" w:rsidR="00000000" w:rsidRPr="00000000">
        <w:rPr>
          <w:rtl w:val="0"/>
        </w:rPr>
        <w:t xml:space="preserve">● Virkelighed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Læreren forklarer eleverne, hvorfor netop dét begreb bedst beskriver klassens oplevelse i Griffenholm. Tanken er, at læreren derved har mulighed for at samle op på forløbet og hjælpe elevernes forståelse på vej.</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Husk, at forløbet ikke har et bestemt facit for øje, men at viden kommer i mange ”former”, og at man kan blive inspireret til fordybelse og eftertanke igennem oplevelser som pirrer nysgerrigheden og virkelysten til at tage stilling og handle.</w:t>
      </w:r>
    </w:p>
    <w:p w:rsidR="00000000" w:rsidDel="00000000" w:rsidP="00000000" w:rsidRDefault="00000000" w:rsidRPr="00000000" w14:paraId="0000006A">
      <w:pPr>
        <w:rPr/>
      </w:pPr>
      <w:r w:rsidDel="00000000" w:rsidR="00000000" w:rsidRPr="00000000">
        <w:rPr>
          <w:rtl w:val="0"/>
        </w:rPr>
        <w:t xml:space="preserve">Vi håber, at forløbet giver anledning til en filosofisk samtale</w:t>
      </w:r>
      <w:r w:rsidDel="00000000" w:rsidR="00000000" w:rsidRPr="00000000">
        <w:rPr>
          <w:vertAlign w:val="superscript"/>
        </w:rPr>
        <w:footnoteReference w:customMarkFollows="0" w:id="2"/>
      </w:r>
      <w:r w:rsidDel="00000000" w:rsidR="00000000" w:rsidRPr="00000000">
        <w:rPr>
          <w:rtl w:val="0"/>
        </w:rPr>
        <w:t xml:space="preserve"> om fx etiske begreber eller blot livet (det gode liv) generelt.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rPr/>
      </w:pPr>
      <w:bookmarkStart w:colFirst="0" w:colLast="0" w:name="_heading=h.dkunhjuxbwjx" w:id="19"/>
      <w:bookmarkEnd w:id="19"/>
      <w:r w:rsidDel="00000000" w:rsidR="00000000" w:rsidRPr="00000000">
        <w:rPr>
          <w:rtl w:val="0"/>
        </w:rPr>
        <w:t xml:space="preserve">Opfordring</w:t>
      </w:r>
    </w:p>
    <w:p w:rsidR="00000000" w:rsidDel="00000000" w:rsidP="00000000" w:rsidRDefault="00000000" w:rsidRPr="00000000" w14:paraId="0000006D">
      <w:pPr>
        <w:rPr/>
      </w:pPr>
      <w:r w:rsidDel="00000000" w:rsidR="00000000" w:rsidRPr="00000000">
        <w:rPr>
          <w:rtl w:val="0"/>
        </w:rPr>
        <w:t xml:space="preserve">Tag meget gerne billeder af gruppernes ”undringsplakater” og send dem til mail: thit@middelaldercentret.dk. Hvis læreren har lyst til at knytte lidt kommentarer til forløbet, er disse også meget velkommen.☺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Vi bruger plakaterne/kommentarerne til evaluering af forløbet samt som reklame for fremtidige skoleforløb i Griffenholm på vores hjemmeside.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I den forbindelse er det vigtigt at gøre opmærksom på, at der </w:t>
      </w:r>
      <w:r w:rsidDel="00000000" w:rsidR="00000000" w:rsidRPr="00000000">
        <w:rPr>
          <w:b w:val="1"/>
          <w:rtl w:val="0"/>
        </w:rPr>
        <w:t xml:space="preserve">ikke</w:t>
      </w:r>
      <w:r w:rsidDel="00000000" w:rsidR="00000000" w:rsidRPr="00000000">
        <w:rPr>
          <w:b w:val="1"/>
          <w:rtl w:val="0"/>
        </w:rPr>
        <w:t xml:space="preserve"> må være billeder af eleverne på undringsplakaterne, da der ikke forelægger samtykke fra forældrene.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drawing>
          <wp:inline distB="114300" distT="114300" distL="114300" distR="114300">
            <wp:extent cx="1694498" cy="1694498"/>
            <wp:effectExtent b="0" l="0" r="0" t="0"/>
            <wp:docPr id="3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694498" cy="1694498"/>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jc w:val="center"/>
        <w:rPr/>
      </w:pPr>
      <w:hyperlink r:id="rId11">
        <w:r w:rsidDel="00000000" w:rsidR="00000000" w:rsidRPr="00000000">
          <w:rPr>
            <w:color w:val="1155cc"/>
            <w:u w:val="single"/>
            <w:rtl w:val="0"/>
          </w:rPr>
          <w:t xml:space="preserve">www.middelaldercentret.dk</w:t>
        </w:r>
      </w:hyperlink>
      <w:r w:rsidDel="00000000" w:rsidR="00000000" w:rsidRPr="00000000">
        <w:rPr>
          <w:rtl w:val="0"/>
        </w:rPr>
      </w:r>
    </w:p>
    <w:p w:rsidR="00000000" w:rsidDel="00000000" w:rsidP="00000000" w:rsidRDefault="00000000" w:rsidRPr="00000000" w14:paraId="00000079">
      <w:pPr>
        <w:jc w:val="center"/>
        <w:rPr/>
      </w:pPr>
      <w:hyperlink r:id="rId12">
        <w:r w:rsidDel="00000000" w:rsidR="00000000" w:rsidRPr="00000000">
          <w:rPr>
            <w:color w:val="1155cc"/>
            <w:u w:val="single"/>
            <w:rtl w:val="0"/>
          </w:rPr>
          <w:t xml:space="preserve">www.middelalderakademiet.dk</w:t>
        </w:r>
      </w:hyperlink>
      <w:r w:rsidDel="00000000" w:rsidR="00000000" w:rsidRPr="00000000">
        <w:rPr>
          <w:rtl w:val="0"/>
        </w:rPr>
      </w:r>
    </w:p>
    <w:p w:rsidR="00000000" w:rsidDel="00000000" w:rsidP="00000000" w:rsidRDefault="00000000" w:rsidRPr="00000000" w14:paraId="0000007A">
      <w:pPr>
        <w:jc w:val="center"/>
        <w:rPr/>
      </w:pPr>
      <w:hyperlink r:id="rId13">
        <w:r w:rsidDel="00000000" w:rsidR="00000000" w:rsidRPr="00000000">
          <w:rPr>
            <w:color w:val="1155cc"/>
            <w:u w:val="single"/>
            <w:rtl w:val="0"/>
          </w:rPr>
          <w:t xml:space="preserve">www.griffenholm.net</w:t>
        </w:r>
      </w:hyperlink>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sectPr>
      <w:footerReference r:id="rId14" w:type="default"/>
      <w:footerReference r:id="rId15" w:type="even"/>
      <w:pgSz w:h="16840" w:w="11900" w:orient="portrait"/>
      <w:pgMar w:bottom="1249.8425196850417" w:top="850.393700787401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veria Serif Libr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0">
      <w:pPr>
        <w:rPr>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https://www.uvm.dk/folkeskolen/folkeskolens-maal-love-og-regler/om-folkeskolen-og-folkeskolens-formaal/folkeskolens-formaal  </w:t>
      </w:r>
    </w:p>
    <w:p w:rsidR="00000000" w:rsidDel="00000000" w:rsidP="00000000" w:rsidRDefault="00000000" w:rsidRPr="00000000" w14:paraId="00000081">
      <w:pPr>
        <w:rPr>
          <w:sz w:val="20"/>
          <w:szCs w:val="20"/>
          <w:vertAlign w:val="superscript"/>
        </w:rPr>
      </w:pPr>
      <w:r w:rsidDel="00000000" w:rsidR="00000000" w:rsidRPr="00000000">
        <w:rPr>
          <w:rtl w:val="0"/>
        </w:rPr>
      </w:r>
    </w:p>
  </w:footnote>
  <w:footnote w:id="1">
    <w:p w:rsidR="00000000" w:rsidDel="00000000" w:rsidP="00000000" w:rsidRDefault="00000000" w:rsidRPr="00000000" w14:paraId="00000082">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
          <w:szCs w:val="17"/>
          <w:rtl w:val="0"/>
        </w:rPr>
        <w:t xml:space="preserve">https://emu.dk/sites/default/files/2020-08/Gsk_kristendomskundskab_l%C3%A6seplan.pdf </w:t>
      </w:r>
      <w:r w:rsidDel="00000000" w:rsidR="00000000" w:rsidRPr="00000000">
        <w:rPr>
          <w:sz w:val="18"/>
          <w:szCs w:val="18"/>
          <w:rtl w:val="0"/>
        </w:rPr>
        <w:t xml:space="preserve"> </w:t>
      </w:r>
    </w:p>
    <w:p w:rsidR="00000000" w:rsidDel="00000000" w:rsidP="00000000" w:rsidRDefault="00000000" w:rsidRPr="00000000" w14:paraId="00000083">
      <w:pPr>
        <w:rPr>
          <w:sz w:val="20"/>
          <w:szCs w:val="20"/>
        </w:rPr>
      </w:pPr>
      <w:r w:rsidDel="00000000" w:rsidR="00000000" w:rsidRPr="00000000">
        <w:rPr>
          <w:rtl w:val="0"/>
        </w:rPr>
      </w:r>
    </w:p>
  </w:footnote>
  <w:footnote w:id="2">
    <w:p w:rsidR="00000000" w:rsidDel="00000000" w:rsidP="00000000" w:rsidRDefault="00000000" w:rsidRPr="00000000" w14:paraId="00000084">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
          <w:szCs w:val="17"/>
          <w:rtl w:val="0"/>
        </w:rPr>
        <w:t xml:space="preserve">https://www.filosofipatruljen.dk/filosofi-med-boern-en-kort-indfoering/ </w:t>
      </w:r>
      <w:r w:rsidDel="00000000" w:rsidR="00000000" w:rsidRPr="00000000">
        <w:rPr>
          <w:sz w:val="18"/>
          <w:szCs w:val="18"/>
          <w:rtl w:val="0"/>
        </w:rPr>
        <w:t xml:space="preserve"> </w:t>
      </w:r>
    </w:p>
    <w:p w:rsidR="00000000" w:rsidDel="00000000" w:rsidP="00000000" w:rsidRDefault="00000000" w:rsidRPr="00000000" w14:paraId="00000085">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jc w:val="center"/>
    </w:pPr>
    <w:rPr>
      <w:rFonts w:ascii="Averia Serif Libre" w:cs="Averia Serif Libre" w:eastAsia="Averia Serif Libre" w:hAnsi="Averia Serif Libre"/>
      <w:b w:val="1"/>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Averia Serif Libre" w:cs="Averia Serif Libre" w:eastAsia="Averia Serif Libre" w:hAnsi="Averia Serif Libre"/>
      <w:b w:val="1"/>
      <w:sz w:val="28"/>
      <w:szCs w:val="28"/>
    </w:rPr>
  </w:style>
  <w:style w:type="paragraph" w:styleId="Heading4">
    <w:name w:val="heading 4"/>
    <w:basedOn w:val="Normal"/>
    <w:next w:val="Normal"/>
    <w:pPr>
      <w:keepNext w:val="1"/>
      <w:keepLines w:val="1"/>
      <w:spacing w:line="276" w:lineRule="auto"/>
    </w:pPr>
    <w:rPr>
      <w:rFonts w:ascii="Averia Serif Libre" w:cs="Averia Serif Libre" w:eastAsia="Averia Serif Libre" w:hAnsi="Averia Serif Libre"/>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jc w:val="center"/>
    </w:pPr>
    <w:rPr>
      <w:rFonts w:ascii="Averia Serif Libre" w:cs="Averia Serif Libre" w:eastAsia="Averia Serif Libre" w:hAnsi="Averia Serif Libre"/>
      <w:b w:val="1"/>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2127"/>
    <w:rPr>
      <w:rFonts w:ascii="Times New Roman" w:cs="Times New Roman" w:eastAsia="Times New Roman" w:hAnsi="Times New Roman"/>
      <w:lang w:eastAsia="da-DK"/>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Fremhv">
    <w:name w:val="Emphasis"/>
    <w:basedOn w:val="Standardskrifttypeiafsnit"/>
    <w:uiPriority w:val="20"/>
    <w:qFormat w:val="1"/>
    <w:rsid w:val="00CE106D"/>
    <w:rPr>
      <w:i w:val="1"/>
      <w:iCs w:val="1"/>
    </w:rPr>
  </w:style>
  <w:style w:type="paragraph" w:styleId="Fodnotetekst">
    <w:name w:val="footnote text"/>
    <w:basedOn w:val="Normal"/>
    <w:link w:val="FodnotetekstTegn"/>
    <w:uiPriority w:val="99"/>
    <w:semiHidden w:val="1"/>
    <w:unhideWhenUsed w:val="1"/>
    <w:rsid w:val="00CE106D"/>
    <w:rPr>
      <w:sz w:val="20"/>
      <w:szCs w:val="20"/>
    </w:rPr>
  </w:style>
  <w:style w:type="character" w:styleId="FodnotetekstTegn" w:customStyle="1">
    <w:name w:val="Fodnotetekst Tegn"/>
    <w:basedOn w:val="Standardskrifttypeiafsnit"/>
    <w:link w:val="Fodnotetekst"/>
    <w:uiPriority w:val="99"/>
    <w:semiHidden w:val="1"/>
    <w:rsid w:val="00CE106D"/>
    <w:rPr>
      <w:sz w:val="20"/>
      <w:szCs w:val="20"/>
    </w:rPr>
  </w:style>
  <w:style w:type="character" w:styleId="Fodnotehenvisning">
    <w:name w:val="footnote reference"/>
    <w:basedOn w:val="Standardskrifttypeiafsnit"/>
    <w:uiPriority w:val="99"/>
    <w:semiHidden w:val="1"/>
    <w:unhideWhenUsed w:val="1"/>
    <w:rsid w:val="00CE106D"/>
    <w:rPr>
      <w:vertAlign w:val="superscript"/>
    </w:rPr>
  </w:style>
  <w:style w:type="character" w:styleId="Hyperlink">
    <w:name w:val="Hyperlink"/>
    <w:basedOn w:val="Standardskrifttypeiafsnit"/>
    <w:uiPriority w:val="99"/>
    <w:semiHidden w:val="1"/>
    <w:unhideWhenUsed w:val="1"/>
    <w:rsid w:val="00A85E10"/>
    <w:rPr>
      <w:color w:val="0000ff"/>
      <w:u w:val="single"/>
    </w:rPr>
  </w:style>
  <w:style w:type="paragraph" w:styleId="Sidefod">
    <w:name w:val="footer"/>
    <w:basedOn w:val="Normal"/>
    <w:link w:val="SidefodTegn"/>
    <w:uiPriority w:val="99"/>
    <w:unhideWhenUsed w:val="1"/>
    <w:rsid w:val="00B31E35"/>
    <w:pPr>
      <w:tabs>
        <w:tab w:val="center" w:pos="4819"/>
        <w:tab w:val="right" w:pos="9638"/>
      </w:tabs>
    </w:pPr>
  </w:style>
  <w:style w:type="character" w:styleId="SidefodTegn" w:customStyle="1">
    <w:name w:val="Sidefod Tegn"/>
    <w:basedOn w:val="Standardskrifttypeiafsnit"/>
    <w:link w:val="Sidefod"/>
    <w:uiPriority w:val="99"/>
    <w:rsid w:val="00B31E35"/>
  </w:style>
  <w:style w:type="character" w:styleId="Sidetal">
    <w:name w:val="page number"/>
    <w:basedOn w:val="Standardskrifttypeiafsnit"/>
    <w:uiPriority w:val="99"/>
    <w:semiHidden w:val="1"/>
    <w:unhideWhenUsed w:val="1"/>
    <w:rsid w:val="00B31E35"/>
  </w:style>
  <w:style w:type="paragraph" w:styleId="Sidehoved">
    <w:name w:val="header"/>
    <w:basedOn w:val="Normal"/>
    <w:link w:val="SidehovedTegn"/>
    <w:uiPriority w:val="99"/>
    <w:unhideWhenUsed w:val="1"/>
    <w:rsid w:val="00DF7033"/>
    <w:pPr>
      <w:tabs>
        <w:tab w:val="center" w:pos="4819"/>
        <w:tab w:val="right" w:pos="9638"/>
      </w:tabs>
    </w:pPr>
  </w:style>
  <w:style w:type="character" w:styleId="SidehovedTegn" w:customStyle="1">
    <w:name w:val="Sidehoved Tegn"/>
    <w:basedOn w:val="Standardskrifttypeiafsnit"/>
    <w:link w:val="Sidehoved"/>
    <w:uiPriority w:val="99"/>
    <w:rsid w:val="00DF7033"/>
  </w:style>
  <w:style w:type="paragraph" w:styleId="Listeafsnit">
    <w:name w:val="List Paragraph"/>
    <w:basedOn w:val="Normal"/>
    <w:uiPriority w:val="34"/>
    <w:qFormat w:val="1"/>
    <w:rsid w:val="00846359"/>
    <w:pPr>
      <w:ind w:left="720"/>
      <w:contextualSpacing w:val="1"/>
    </w:pPr>
  </w:style>
  <w:style w:type="character" w:styleId="BesgtLink">
    <w:name w:val="FollowedHyperlink"/>
    <w:basedOn w:val="Standardskrifttypeiafsnit"/>
    <w:uiPriority w:val="99"/>
    <w:semiHidden w:val="1"/>
    <w:unhideWhenUsed w:val="1"/>
    <w:rsid w:val="005043E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ddelaldercentret.dk" TargetMode="External"/><Relationship Id="rId10" Type="http://schemas.openxmlformats.org/officeDocument/2006/relationships/image" Target="media/image3.jpg"/><Relationship Id="rId13" Type="http://schemas.openxmlformats.org/officeDocument/2006/relationships/hyperlink" Target="http://www.griffenholm.net" TargetMode="External"/><Relationship Id="rId12" Type="http://schemas.openxmlformats.org/officeDocument/2006/relationships/hyperlink" Target="http://www.middelalderakademiet.d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veriaSerifLibre-regular.ttf"/><Relationship Id="rId2" Type="http://schemas.openxmlformats.org/officeDocument/2006/relationships/font" Target="fonts/AveriaSerifLibre-bold.ttf"/><Relationship Id="rId3" Type="http://schemas.openxmlformats.org/officeDocument/2006/relationships/font" Target="fonts/AveriaSerifLibre-italic.ttf"/><Relationship Id="rId4" Type="http://schemas.openxmlformats.org/officeDocument/2006/relationships/font" Target="fonts/AveriaSerifLibre-boldItalic.tt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plbsnFBQbYqHs7lmrITHilGEIw==">CgMxLjAyDWguNjRjNDFvZ2o2c20yDmguMjBzYTVudTFkbzg3Mg5oLjc1bTQycWhmY2l2ZzIOaC53Y2xsenMyZ3NndXoyDmguZ2FlNWMxZ255bDB0Mg5oLmg1N25uZXN5aXN5cTIOaC5oaXF1YWhwOW10d3EyDmguanVnOGlxYWVpbW90Mg5oLjNtZ3ltdTRmcms1cTIOaC5vc3R1cG43amgwaWsyDmguNGY0ZW9odW5ld2hrMg5oLnk2cGp0NzJybmV3MDIOaC44c3g0dDZubzlyZm0yDmguamcya3ZjbWV5MjBjMg5oLmZvNTFscG9ic2U0azIOaC55ZHkxOG9mZnNuZ2gyDmgubnl3OW1nZjk5dTNmMg5oLjVzdTVleTlzMmk2bzIOaC5sNmc0Z3p0bnI3Y3QyDmguZGt1bmhqdXhid2p4OAByITFwUmNLVUdqTm9aZWR1WDhISXBmUkxjbEhfbjQ1UWdp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2020-10-16T08:21:00Z</dcterms:created>
  <dc:creator>Pia Bach</dc:creator>
</cp:coreProperties>
</file>